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535D5D" w:rsidRDefault="00AB3AA7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21.06.2022., 10 часов 57 минуты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535D5D" w:rsidRDefault="00AB3AA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Филиал ПАО «ФСК ЕЭС» - 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Север-Кавказское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ПМЭС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535D5D" w:rsidRDefault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ПАО « ФСК ЕЭС»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535D5D" w:rsidRDefault="00AB3AA7" w:rsidP="00AB3AA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трансформатор Т-1 расположенный в трансформаторной камере ПС 110 </w:t>
            </w:r>
            <w:proofErr w:type="spell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«Б»,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535D5D" w:rsidRDefault="00AB3AA7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Отключение объектов электросетевого хозяйства (высший класс напряжения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выше), генерирующего оборудования мощностью 100 МВт и более на 2 и более объектах электроэнергетики, вызвавшее прекращение электроснабжения потребителей электрической энергии, суммарная мощность потребления которых составляет 100 МВт и более, продолжительностью 30 минут и более.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535D5D" w:rsidRDefault="00366CFE" w:rsidP="00366C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366CFE" w:rsidRPr="00535D5D" w:rsidTr="00781C4C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В 10 часов 57 минут на ПС 330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Махачкала при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КЗ</w:t>
                  </w:r>
                  <w:proofErr w:type="gram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на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землю фазы «А0» выключателя ОВ-110 (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Махачкала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– ГПП II цепь (ВЛ-110-145))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произошел отказ ДЗШ 1СШ-110,</w:t>
                  </w:r>
                  <w:proofErr w:type="gramEnd"/>
                </w:p>
                <w:p w:rsidR="00AB3AA7" w:rsidRP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2СШ-110 (ДЗШ, УРОВ) (ШЭ2607 061). Зафиксировано 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блокирование ДЗШ по цепи блокировки при неисправностях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цепей переменного тока</w:t>
                  </w: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.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По информации по пуску </w:t>
                  </w:r>
                  <w:proofErr w:type="gramStart"/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</w:t>
                  </w:r>
                  <w:proofErr w:type="gramEnd"/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осциллограммы ДЗШ 1</w:t>
                  </w:r>
                  <w:r w:rsid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СШ-110, 2СШ-110 (ДЗШ, УРОВ)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(ШЭ2607 061) видно, что</w:t>
                  </w:r>
                  <w:r w:rsid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в самый начальный момент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повреждения выключателя</w:t>
                  </w:r>
                  <w:r w:rsid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ОВ-110 (тип ВГТ-110) сигнал 306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«Обрыв цепей тока </w:t>
                  </w:r>
                  <w:proofErr w:type="gramStart"/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</w:t>
                  </w:r>
                  <w:proofErr w:type="gramEnd"/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» уже в сработанном состоянии, </w:t>
                  </w:r>
                </w:p>
                <w:p w:rsid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т.е. на момент аварии ДЗШ 1</w:t>
                  </w:r>
                  <w:r w:rsid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СШ-110, 2СШ-110 (ДЗШ, УРОВ)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(ШЭ2607 061) уже была заблокирована.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Манас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-Тяговая 2 зона ДЗ (14,8 Ом, 0,8 сек.) 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</w:t>
                  </w:r>
                  <w:r w:rsidRPr="00535D5D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Комплекте ступенчатых защит </w:t>
                  </w:r>
                  <w:proofErr w:type="gram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Махачкала – 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</w:pP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Манас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-Тяговая (ВЛ-110-142)</w:t>
                  </w:r>
                  <w:r w:rsidRPr="00535D5D">
                    <w:rPr>
                      <w:rFonts w:ascii="Times New Roman" w:hAnsi="Times New Roman" w:cs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(ДЗ, ТЗНП, МФО) (ЭПЗ-1636) 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заблокировалась при переходе из однофазного </w:t>
                  </w:r>
                  <w:proofErr w:type="gramStart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>КЗ</w:t>
                  </w:r>
                  <w:proofErr w:type="gramEnd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в между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</w:pPr>
                  <w:proofErr w:type="gramStart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>фазное, а для 3 зоны ДЗ не хватило времени (резервным</w:t>
                  </w:r>
                  <w:proofErr w:type="gramEnd"/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действием</w:t>
                  </w: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</w:t>
                  </w: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зоны ДЗ (21,6 Ом, 1,3 сек) отключилась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ВЛ</w:t>
                  </w:r>
                  <w:proofErr w:type="gram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110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Изберг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-Северная -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Манас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-Тяговая с отпайкой на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ПС Рассвет (ВЛ-110-104)</w:t>
                  </w: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на ПС 110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>Изберг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 xml:space="preserve"> – Северная</w:t>
                  </w: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)</w:t>
                  </w:r>
                  <w:r w:rsidRPr="00535D5D">
                    <w:rPr>
                      <w:rFonts w:ascii="Times New Roman" w:hAnsi="Times New Roman" w:cs="Times New Roman"/>
                      <w:iCs/>
                      <w:sz w:val="26"/>
                      <w:szCs w:val="26"/>
                    </w:rPr>
                    <w:t>.</w:t>
                  </w:r>
                  <w:proofErr w:type="gramEnd"/>
                </w:p>
                <w:p w:rsidR="00535D5D" w:rsidRDefault="00AB3AA7" w:rsidP="00AB3AA7">
                  <w:pPr>
                    <w:spacing w:line="288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Буйнакск-1 отключились присоединения, </w:t>
                  </w:r>
                </w:p>
                <w:p w:rsidR="00AB3AA7" w:rsidRPr="00535D5D" w:rsidRDefault="00AB3AA7" w:rsidP="00AB3AA7">
                  <w:pPr>
                    <w:spacing w:line="288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заведенные под ОН-5 (38 МВт) (правильно);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На ПС 110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Буйнакск-2 отключились присоединения, 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заведенные под ОН-5 (В-35-15 и В-6-Т-1) (7 МВт) (правильно)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(В-6-Т-2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отключен</w:t>
                  </w:r>
                  <w:proofErr w:type="gram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по режиму), что привело к потери 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собственных нужд ПС и при этом произошла полная потеря </w:t>
                  </w:r>
                </w:p>
                <w:p w:rsidR="00AB3AA7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передачи телеметрической информации между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Дагестанским</w:t>
                  </w:r>
                  <w:proofErr w:type="gram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РДУ и ПС 110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Буйнакск-2 на время 53 минуты.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Аккумуляторные батареи в источнике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бесперебойного</w:t>
                  </w:r>
                  <w:proofErr w:type="gramEnd"/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питания (ИБП), предназначенного для резервирования 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lastRenderedPageBreak/>
                    <w:t xml:space="preserve">устройства телемеханики </w:t>
                  </w:r>
                  <w:proofErr w:type="spell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Selta</w:t>
                  </w:r>
                  <w:proofErr w:type="spell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RTU, не сработали </w:t>
                  </w:r>
                  <w:proofErr w:type="gramStart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-и</w:t>
                  </w:r>
                  <w:proofErr w:type="gramEnd"/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стек срок</w:t>
                  </w:r>
                </w:p>
                <w:p w:rsidR="00AB3AA7" w:rsidRPr="00535D5D" w:rsidRDefault="00AB3AA7" w:rsidP="00AB3AA7">
                  <w:pPr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</w:rPr>
                  </w:pPr>
                  <w:r w:rsidRPr="00535D5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эксплуатации (утечка емкости АБ)</w:t>
                  </w:r>
                  <w:r w:rsidRPr="00535D5D">
                    <w:rPr>
                      <w:rFonts w:ascii="Times New Roman" w:eastAsia="Times New Roman" w:hAnsi="Times New Roman" w:cs="Times New Roman"/>
                      <w:i/>
                      <w:sz w:val="26"/>
                      <w:szCs w:val="26"/>
                    </w:rPr>
                    <w:t>.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На Махачкалинской ТЭЦ отключился Т-1 (10 МВА; 35/6 </w:t>
                  </w:r>
                  <w:proofErr w:type="spell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кВ</w:t>
                  </w:r>
                  <w:proofErr w:type="spell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)</w:t>
                  </w:r>
                </w:p>
                <w:p w:rsid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действием МТЗ, станция выделилась на </w:t>
                  </w:r>
                  <w:proofErr w:type="gramStart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изолированную</w:t>
                  </w:r>
                  <w:proofErr w:type="gramEnd"/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AB3AA7" w:rsidRPr="00535D5D" w:rsidRDefault="00AB3AA7" w:rsidP="00AB3AA7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35D5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работу с нагрузкой 3 МВт.</w:t>
                  </w:r>
                </w:p>
                <w:p w:rsidR="00366CFE" w:rsidRPr="00535D5D" w:rsidRDefault="00366CFE" w:rsidP="00AB3AA7">
                  <w:pPr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63E95" w:rsidRPr="00535D5D" w:rsidRDefault="00963E95" w:rsidP="00B141F2">
            <w:pPr>
              <w:pStyle w:val="Standard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A7" w:rsidRPr="00535D5D" w:rsidRDefault="00AB3AA7" w:rsidP="00AB3AA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Обесточено: 10 ПС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(Насосная-1, Берег, ЗТМ, Насосная-2, Каспийская ТЭЦ, Уйташ-1, Уйташ-2, Очистные Сооружения,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Манас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-Тяговая, Рассвет), 2с 110 на ПС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Юго-Восточная, 1С 6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2С 6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ПС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Буйнакск-1, 1С 6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2С 6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ПС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Буйнакск-2. Быт части г. Махачкалы, г. Каспийска, Буйнакского и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Карабудахкентского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районов Республики Дагестан (187500 человек) - 125 МВт. Зафиксирован останов двух пассажирских поездов.</w:t>
            </w:r>
          </w:p>
          <w:p w:rsidR="00AB3AA7" w:rsidRPr="00535D5D" w:rsidRDefault="00AB3AA7" w:rsidP="00AB3AA7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 следствии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потери собственных нужд на Каспийской ТЭЦ произошла полная потеря передачи телеметрической информации между Филиалом АО «СО ЕЭС» Дагестанского РДУ и Каспийской ТЭЦ. На запрос Дагестанское РДУ (письмо от 22.06.2022 № Р20-в-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-19-799) предоставить информацию о причинах нарушений информационного обмена и направить организационные и технические мероприятия для предотвращения подобных нарушений и аварий АСДУ/СДТУ в дальнейшем, ответ не получен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63E95" w:rsidRPr="00535D5D" w:rsidRDefault="00963E95" w:rsidP="00366CF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535D5D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r w:rsidR="00B141F2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Причиной отказа работы резервных защит 110 </w:t>
            </w:r>
            <w:proofErr w:type="spell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АТ-1 послужил выход из строя блока питания Е2 терминала резервных защит 110 </w:t>
            </w:r>
            <w:proofErr w:type="spell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АТ-1 типа БЭ2704 071 вследствие появления перенапряжения во вторичных цепях оперативного тока в течени</w:t>
            </w:r>
            <w:proofErr w:type="gram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1,973 сек. от начала КЗ.</w:t>
            </w:r>
          </w:p>
          <w:p w:rsidR="00963E95" w:rsidRPr="00535D5D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r w:rsidR="00B141F2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Причиной обрыва шлейфа (выход из зажима) фазы "А" опоры № 88 ВЛ 110 </w:t>
            </w:r>
            <w:proofErr w:type="spell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Восточная – Каспийская ТЭЦ II цепь с отпайками (ВЛ-110-112) в месте контактного соединения медь - алюминий в переходном зажиме ПАМ-3-1 послужил динамический удар </w:t>
            </w:r>
            <w:proofErr w:type="gram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 следствии</w:t>
            </w:r>
            <w:proofErr w:type="gram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увеличения токовой загрузки при КЗ во внешней цепи 110 </w:t>
            </w:r>
            <w:proofErr w:type="spell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proofErr w:type="spellEnd"/>
          </w:p>
          <w:p w:rsidR="00AB3AA7" w:rsidRPr="00535D5D" w:rsidRDefault="00AB3AA7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1.3 Причиной разрушения выключателя ОВ-110 на ПС 330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Махачкала явилось длительное воздействие электрической дуги и плазмы (на фазе «А» с последующим развитием 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КЗ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фазы «В» и «С» вследствие отказа (блокировки)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ДЗШ 1СШ-110, 2СШ-110 (ДЗШ, УРОВ) (ШЭ2607 061) и 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отказа 3 зоны ДЗ АТ-1)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. По причине разрушения выключателя ОВ-110 происходит падение шлейфов на раму выключателя, длительное КЗ на землю (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Iкз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=17,8 кА в течени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19 сек.) в результате чего произошло повреждение горизонтального луча контура заземления, соединяющего шинный разъединитель с рамой выключателя ОВ-110.</w:t>
            </w:r>
          </w:p>
          <w:p w:rsidR="00AB3AA7" w:rsidRPr="00535D5D" w:rsidRDefault="00AB3AA7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1.4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Причиной отказа (блокировки)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ДЗШ 1СШ-110, 2СШ-110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(ДЗШ, УРОВ) (ШЭ2607 061) по информации завода-изготовителя ООО НПП «ЭКРА» письмо от 14.07.2022 №11988: «сигнал 306 «Обрыв цепей тока ПО» мог быть сформирован при операциях связанных с переводом присоединений на 1СШ, в том числе выполняемых по бланку переключений № 640-652 (Начало: 05:35 от 21.06.2022.</w:t>
            </w:r>
            <w:proofErr w:type="gram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Окончание: 07:36 от 21.06.2022)»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3AA7" w:rsidRPr="00535D5D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AB3AA7"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 эксплуатации </w:t>
            </w:r>
            <w:proofErr w:type="gram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Восточная </w:t>
            </w:r>
            <w:r w:rsidR="00AB3AA7" w:rsidRPr="00535D5D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–</w:t>
            </w:r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Каспийская ТЭЦ II цепь с отпайками (ВЛ-110-112)</w:t>
            </w:r>
            <w:r w:rsidR="00AB3AA7"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не выявлено ухудшение параметров надежной работы</w:t>
            </w:r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контактного соединения медь - алюминий в переходном зажиме ПАМ-3-1, шлейфа фазы "А" опоры № 88.</w:t>
            </w:r>
          </w:p>
          <w:p w:rsidR="00963E95" w:rsidRPr="00535D5D" w:rsidRDefault="003A30A1" w:rsidP="00AB3AA7">
            <w:pPr>
              <w:pStyle w:val="Standard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</w:t>
            </w:r>
            <w:r w:rsidR="00AB3AA7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  <w:r w:rsidR="00B141F2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proofErr w:type="gramStart"/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Логикой сигнализации </w:t>
            </w:r>
            <w:r w:rsidR="00AB3AA7"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ДЗШ 1СШ-110, 2СШ-110 (ДЗШ, УРОВ) </w:t>
            </w:r>
            <w:r w:rsidR="00AB3AA7"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(ШЭ2607 061) не предусмотрена возможность снятия сигнализации «Неисправность» при выводе в ремонт трансформаторов напряжения (указательное реле «Неисправность» находится в сработанном состоянии, при выводе любого из ТН 110), что при данной аварии привело к</w:t>
            </w:r>
            <w:r w:rsidR="00AB3AA7"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отсутствию звуковой сигнализации, на которую должен был отреагировать дежурный персонал, при срабатывании логики обрыва цепей тока</w:t>
            </w:r>
            <w:r w:rsidR="00AB3AA7"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ДЗШ 1СШ-110, 2СШ-110</w:t>
            </w:r>
            <w:proofErr w:type="gramEnd"/>
            <w:r w:rsidR="00AB3AA7"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="00AB3AA7"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ДЗШ, УРОВ) (ШЭ2607 061) действующей на блокировку ДЗШ.</w:t>
            </w:r>
            <w:proofErr w:type="gramEnd"/>
          </w:p>
          <w:p w:rsidR="00AB3AA7" w:rsidRPr="00535D5D" w:rsidRDefault="00AB3AA7" w:rsidP="00AB3AA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2.3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Причиной разрушения выключателя ОВ-110 на ПС 330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Махачкала явилось короткое замыкание, возникшее по продуктам жизнедеятельности птиц.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535D5D" w:rsidRDefault="00AB3AA7" w:rsidP="00366C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366CFE" w:rsidRPr="00535D5D">
              <w:rPr>
                <w:rFonts w:ascii="Times New Roman" w:hAnsi="Times New Roman" w:cs="Times New Roman"/>
                <w:sz w:val="26"/>
                <w:szCs w:val="26"/>
              </w:rPr>
              <w:t>Технические мероприятия</w:t>
            </w:r>
          </w:p>
          <w:p w:rsidR="00AB3AA7" w:rsidRPr="00535D5D" w:rsidRDefault="00AB3AA7" w:rsidP="00AB3AA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3.1 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Выполнить совместную двухстороннюю послеаварийную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проверку исправности ВЧ тракта 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ДФЗ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Махачкала – Восточная (ВЛ-110-173).</w:t>
            </w:r>
          </w:p>
          <w:p w:rsidR="00AB3AA7" w:rsidRPr="00535D5D" w:rsidRDefault="00AB3AA7" w:rsidP="00AB3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proofErr w:type="gram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ыполнить в объеме «В» послеаварийную проверку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вторичных цепей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Комплекта РЗА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(ДЗ и ТЗНП, АПВ, АУВ и УРОВ В-АТ-1) (ШЭ2607 071) АТ-1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ПС 330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Махачкала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B3AA7" w:rsidRPr="00535D5D" w:rsidRDefault="00AB3AA7" w:rsidP="00AB3AA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proofErr w:type="gram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proofErr w:type="gram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 ПС 330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Махачкала установить акустический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отпугиватель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птиц.</w:t>
            </w:r>
          </w:p>
          <w:p w:rsidR="00AB3AA7" w:rsidRPr="00535D5D" w:rsidRDefault="00AB3AA7" w:rsidP="00AB3AA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3.4</w:t>
            </w:r>
            <w:proofErr w:type="gram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</w:t>
            </w:r>
            <w:proofErr w:type="gram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 ПС 330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Махачкала провести замер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металлосвязи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заземляющего устройства ОРУ 110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, шкафов и панелей релейного зала № 1, релейного зала № 2.</w:t>
            </w:r>
          </w:p>
          <w:p w:rsidR="00AB3AA7" w:rsidRPr="00535D5D" w:rsidRDefault="00AB3AA7" w:rsidP="00AB3AA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3.5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еализовать технические решения в части сигнализации при возникновении блокировки ДЗШ 1СШ-110, 2СШ-110 (ДЗШ, УРОВ) из-за неисправности цепей тока, полученные от ООО НПП «ЭКРА» письмом от 14.07.2022 года № 11988 «О функционировании ДЗШ-110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на ПС Махачкала».</w:t>
            </w:r>
          </w:p>
          <w:p w:rsidR="00AB3AA7" w:rsidRPr="00535D5D" w:rsidRDefault="00AB3AA7" w:rsidP="00AB3AA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3.6  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Заменить аккумуляторные батареи в источнике бесперебойного питания (ИБП) ПС 110кВ Буйнакск-23.1.7 Выполнить ревизию контактных соединений в местах 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перехода медь-алюминий в зажимах ПАМ-3-1 на </w:t>
            </w:r>
            <w:proofErr w:type="gram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Восточная </w:t>
            </w:r>
            <w:r w:rsidRPr="00535D5D">
              <w:rPr>
                <w:rFonts w:ascii="Times New Roman" w:hAnsi="Times New Roman" w:cs="Times New Roman"/>
                <w:i/>
                <w:sz w:val="26"/>
                <w:szCs w:val="26"/>
              </w:rPr>
              <w:t>–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Каспийская ТЭЦ II цепь с отпайками (ВЛ-110-112), при выявлении отклонений от требований, действующих НТД, устранить их.</w:t>
            </w:r>
          </w:p>
          <w:p w:rsidR="00963E95" w:rsidRPr="00535D5D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535D5D" w:rsidRDefault="00AB3AA7" w:rsidP="00366C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66CFE" w:rsidRPr="00535D5D">
              <w:rPr>
                <w:rFonts w:ascii="Times New Roman" w:hAnsi="Times New Roman" w:cs="Times New Roman"/>
                <w:sz w:val="26"/>
                <w:szCs w:val="26"/>
              </w:rPr>
              <w:t>.Организационные мероприятия</w:t>
            </w:r>
            <w:proofErr w:type="gramStart"/>
            <w:r w:rsidR="00366CFE"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AB3AA7" w:rsidRPr="00535D5D" w:rsidRDefault="00AB3AA7" w:rsidP="00AB3AA7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D5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4.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Start"/>
            <w:r w:rsidRPr="00535D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роработать с персоналом РЗА Северо-Кавказского ПМЭС обстоятельства настоящей аварии.</w:t>
            </w:r>
          </w:p>
          <w:p w:rsidR="00AB3AA7" w:rsidRPr="00535D5D" w:rsidRDefault="00AB3AA7" w:rsidP="00AB3AA7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bCs/>
                <w:sz w:val="26"/>
                <w:szCs w:val="26"/>
              </w:rPr>
              <w:t>4.2</w:t>
            </w:r>
            <w:proofErr w:type="gramStart"/>
            <w:r w:rsidRPr="00535D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ыяснить причину выхода из строя блока питания Е2 терминала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Комплекта РЗА 110 </w:t>
            </w:r>
            <w:proofErr w:type="spellStart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АТ-1 (ДЗ и ТЗНП АТ-1, АПВ, АУВ и </w:t>
            </w:r>
            <w:r w:rsidRPr="00535D5D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УРОВ В-АТ-1) (ШЭ2607 071)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выдать рекомендации (технические решения) для исключения подобного в дальнейшем.</w:t>
            </w:r>
          </w:p>
          <w:p w:rsidR="00AB3AA7" w:rsidRPr="00535D5D" w:rsidRDefault="00AB3AA7" w:rsidP="00AB3AA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bCs/>
                <w:sz w:val="26"/>
                <w:szCs w:val="26"/>
              </w:rPr>
              <w:t>4.3</w:t>
            </w:r>
            <w:proofErr w:type="gramStart"/>
            <w:r w:rsidRPr="00535D5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 получению заключения причины выхода из строя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блока питания Е2 Комплекта РЗА 110 </w:t>
            </w:r>
            <w:proofErr w:type="spell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(ДЗ и ТЗНП, АПВ, АУВ и УРОВ В-АТ-1) (ШЭ2607 071) АТ-1 и рекомендаций 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ООО НПП «ЭКРА» </w:t>
            </w: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разработать мероприятия.</w:t>
            </w:r>
          </w:p>
          <w:p w:rsidR="00AB3AA7" w:rsidRPr="00535D5D" w:rsidRDefault="00AB3AA7" w:rsidP="00AB3AA7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>4.4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о результатам исполнения п.3.1.1. при выявлении отклонений от требований, действующих НТД, разработать мероприятия и устранить.</w:t>
            </w:r>
          </w:p>
          <w:p w:rsidR="00AB3AA7" w:rsidRPr="00535D5D" w:rsidRDefault="00170C8F" w:rsidP="00AB3AA7">
            <w:pPr>
              <w:contextualSpacing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35D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.5 Принять меры по сокращению интервала технического обслуживания Комплекта ступенчатых защит </w:t>
            </w:r>
            <w:proofErr w:type="gramStart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ГПП - Компас (ВЛ-110-155) (ДЗ, ТЗНП, МФО) (ЭПЗ-1636) на ПС 110 </w:t>
            </w:r>
            <w:proofErr w:type="spellStart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B3AA7" w:rsidRPr="00535D5D">
              <w:rPr>
                <w:rFonts w:ascii="Times New Roman" w:hAnsi="Times New Roman" w:cs="Times New Roman"/>
                <w:sz w:val="26"/>
                <w:szCs w:val="26"/>
              </w:rPr>
              <w:t xml:space="preserve"> Компас с учетом технического состояния устройств РЗА.</w:t>
            </w:r>
          </w:p>
          <w:p w:rsidR="003A30A1" w:rsidRPr="00535D5D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535D5D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5.1</w:t>
            </w:r>
            <w:r w:rsidR="00B141F2"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электрооборудования;</w:t>
            </w:r>
          </w:p>
          <w:p w:rsidR="00963E95" w:rsidRPr="00535D5D" w:rsidRDefault="003A30A1" w:rsidP="00535D5D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5D5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</w:t>
            </w:r>
            <w:bookmarkStart w:id="0" w:name="_GoBack"/>
            <w:bookmarkEnd w:id="0"/>
          </w:p>
        </w:tc>
      </w:tr>
      <w:tr w:rsidR="00C7407A" w:rsidRPr="00C7407A" w:rsidTr="003A30A1">
        <w:trPr>
          <w:trHeight w:val="666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Default="00963E95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097EEC8C" wp14:editId="654578DF">
                  <wp:extent cx="5939161" cy="5667375"/>
                  <wp:effectExtent l="0" t="0" r="4445" b="0"/>
                  <wp:docPr id="5" name="Рисунок 5" descr="\\10.9.80.5\энергетик.отдел\Прудникова\Володина\ПС 330 Махачкала -2 по аварии\IMG-20220624-WA00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0.9.80.5\энергетик.отдел\Прудникова\Володина\ПС 330 Махачкала -2 по аварии\IMG-20220624-WA00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5668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7537B8A" wp14:editId="08B7594C">
                  <wp:extent cx="5939162" cy="7839075"/>
                  <wp:effectExtent l="0" t="0" r="4445" b="0"/>
                  <wp:docPr id="6" name="Рисунок 6" descr="\\10.9.80.5\энергетик.отдел\Прудникова\Володина\ПС 330 Махачкала -2 по аварии\IMG-20220624-WA0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10.9.80.5\энергетик.отдел\Прудникова\Володина\ПС 330 Махачкала -2 по аварии\IMG-20220624-WA0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7840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0C8F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  <w:p w:rsidR="00170C8F" w:rsidRPr="00C7407A" w:rsidRDefault="00170C8F" w:rsidP="003A30A1">
            <w:pPr>
              <w:pStyle w:val="TableContents"/>
              <w:ind w:left="-105"/>
              <w:rPr>
                <w:color w:val="FF0000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9"/>
      <w:footerReference w:type="default" r:id="rId10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FF" w:rsidRDefault="00A464FF">
      <w:r>
        <w:separator/>
      </w:r>
    </w:p>
  </w:endnote>
  <w:endnote w:type="continuationSeparator" w:id="0">
    <w:p w:rsidR="00A464FF" w:rsidRDefault="00A46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FF" w:rsidRDefault="00A464FF">
      <w:r>
        <w:separator/>
      </w:r>
    </w:p>
  </w:footnote>
  <w:footnote w:type="continuationSeparator" w:id="0">
    <w:p w:rsidR="00A464FF" w:rsidRDefault="00A46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70C8F"/>
    <w:rsid w:val="001C73DF"/>
    <w:rsid w:val="00366CFE"/>
    <w:rsid w:val="003A30A1"/>
    <w:rsid w:val="00456BB2"/>
    <w:rsid w:val="004605DA"/>
    <w:rsid w:val="00535D5D"/>
    <w:rsid w:val="00683D53"/>
    <w:rsid w:val="007B7F30"/>
    <w:rsid w:val="00963E95"/>
    <w:rsid w:val="00982E1F"/>
    <w:rsid w:val="009E003F"/>
    <w:rsid w:val="00A464FF"/>
    <w:rsid w:val="00AB3AA7"/>
    <w:rsid w:val="00B141F2"/>
    <w:rsid w:val="00BC2E3E"/>
    <w:rsid w:val="00C7407A"/>
    <w:rsid w:val="00EB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5</cp:revision>
  <cp:lastPrinted>2022-12-26T12:32:00Z</cp:lastPrinted>
  <dcterms:created xsi:type="dcterms:W3CDTF">2023-01-25T12:06:00Z</dcterms:created>
  <dcterms:modified xsi:type="dcterms:W3CDTF">2023-01-25T12:36:00Z</dcterms:modified>
</cp:coreProperties>
</file>